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E49E2" w14:textId="77777777" w:rsidR="005D4B27" w:rsidRDefault="00227588">
      <w:pPr>
        <w:tabs>
          <w:tab w:val="center" w:pos="4153"/>
          <w:tab w:val="right" w:pos="8306"/>
        </w:tabs>
        <w:jc w:val="center"/>
        <w:rPr>
          <w:b/>
          <w:bCs/>
          <w:szCs w:val="24"/>
        </w:rPr>
      </w:pPr>
      <w:bookmarkStart w:id="0" w:name="_GoBack"/>
      <w:bookmarkEnd w:id="0"/>
      <w:r>
        <w:rPr>
          <w:b/>
          <w:bCs/>
          <w:szCs w:val="24"/>
        </w:rPr>
        <w:t xml:space="preserve">LIETUVOS RESPUBLIKOS SVEIKATOS APSAUGOS MINISTRAS </w:t>
      </w:r>
      <w:r>
        <w:rPr>
          <w:szCs w:val="24"/>
        </w:rPr>
        <w:t>–</w:t>
      </w:r>
    </w:p>
    <w:p w14:paraId="04155213" w14:textId="77777777" w:rsidR="005D4B27" w:rsidRDefault="00227588">
      <w:pPr>
        <w:tabs>
          <w:tab w:val="center" w:pos="4153"/>
          <w:tab w:val="right" w:pos="8306"/>
        </w:tabs>
        <w:jc w:val="center"/>
        <w:rPr>
          <w:b/>
          <w:bCs/>
          <w:szCs w:val="24"/>
        </w:rPr>
      </w:pPr>
      <w:r>
        <w:rPr>
          <w:b/>
          <w:bCs/>
          <w:color w:val="000000"/>
          <w:szCs w:val="24"/>
          <w:shd w:val="clear" w:color="auto" w:fill="FFFFFF"/>
        </w:rPr>
        <w:t>VALSTYBĖS LYGIO EKSTREMALIOSIOS SITUACIJOS VALSTYBĖS OPERACIJŲ VADOVAS</w:t>
      </w:r>
    </w:p>
    <w:p w14:paraId="40FA56C1" w14:textId="77777777" w:rsidR="005D4B27" w:rsidRDefault="005D4B27">
      <w:pPr>
        <w:tabs>
          <w:tab w:val="center" w:pos="4153"/>
          <w:tab w:val="right" w:pos="8306"/>
        </w:tabs>
        <w:jc w:val="center"/>
        <w:rPr>
          <w:b/>
          <w:bCs/>
          <w:szCs w:val="24"/>
        </w:rPr>
      </w:pPr>
    </w:p>
    <w:p w14:paraId="5EDEF843" w14:textId="77777777" w:rsidR="005D4B27" w:rsidRDefault="00227588">
      <w:pPr>
        <w:tabs>
          <w:tab w:val="center" w:pos="4153"/>
          <w:tab w:val="right" w:pos="8306"/>
        </w:tabs>
        <w:jc w:val="center"/>
        <w:rPr>
          <w:b/>
          <w:bCs/>
          <w:szCs w:val="24"/>
        </w:rPr>
      </w:pPr>
      <w:r>
        <w:rPr>
          <w:b/>
          <w:bCs/>
          <w:szCs w:val="24"/>
        </w:rPr>
        <w:t>SPRENDIMAS</w:t>
      </w:r>
    </w:p>
    <w:p w14:paraId="2AE70D7D" w14:textId="12A2CDAF" w:rsidR="005D4B27" w:rsidRDefault="00227588">
      <w:pPr>
        <w:jc w:val="center"/>
        <w:rPr>
          <w:b/>
          <w:bCs/>
        </w:rPr>
      </w:pPr>
      <w:r>
        <w:rPr>
          <w:b/>
          <w:bCs/>
          <w:szCs w:val="24"/>
        </w:rPr>
        <w:t xml:space="preserve">DĖL </w:t>
      </w:r>
      <w:r>
        <w:rPr>
          <w:b/>
          <w:bCs/>
        </w:rPr>
        <w:t xml:space="preserve">GREITŲJŲ TESTŲ </w:t>
      </w:r>
      <w:r>
        <w:rPr>
          <w:b/>
          <w:bCs/>
          <w:shd w:val="clear" w:color="auto" w:fill="FFFFFF"/>
        </w:rPr>
        <w:t>NAUDOJIMO</w:t>
      </w:r>
    </w:p>
    <w:p w14:paraId="7CFD4481" w14:textId="77777777" w:rsidR="005D4B27" w:rsidRDefault="005D4B27">
      <w:pPr>
        <w:jc w:val="center"/>
        <w:rPr>
          <w:bCs/>
        </w:rPr>
      </w:pPr>
    </w:p>
    <w:p w14:paraId="1B3A0FBD" w14:textId="18A38690" w:rsidR="005D4B27" w:rsidRDefault="00227588">
      <w:pPr>
        <w:jc w:val="center"/>
        <w:rPr>
          <w:szCs w:val="24"/>
        </w:rPr>
      </w:pPr>
      <w:r>
        <w:rPr>
          <w:szCs w:val="24"/>
        </w:rPr>
        <w:t>2020 m. birželio 3 d. Nr. V-1365</w:t>
      </w:r>
    </w:p>
    <w:p w14:paraId="1D7A7757" w14:textId="77777777" w:rsidR="005D4B27" w:rsidRDefault="00227588">
      <w:pPr>
        <w:jc w:val="center"/>
        <w:rPr>
          <w:szCs w:val="24"/>
        </w:rPr>
      </w:pPr>
      <w:r>
        <w:rPr>
          <w:szCs w:val="24"/>
        </w:rPr>
        <w:t>Vilnius</w:t>
      </w:r>
    </w:p>
    <w:p w14:paraId="546DF1AB" w14:textId="77777777" w:rsidR="00227588" w:rsidRDefault="00227588">
      <w:pPr>
        <w:ind w:firstLine="851"/>
        <w:jc w:val="both"/>
        <w:rPr>
          <w:szCs w:val="24"/>
        </w:rPr>
      </w:pPr>
    </w:p>
    <w:p w14:paraId="44E66C7E" w14:textId="7135EA7C" w:rsidR="005D4B27" w:rsidRDefault="00227588">
      <w:pPr>
        <w:ind w:firstLine="851"/>
        <w:jc w:val="both"/>
        <w:rPr>
          <w:szCs w:val="24"/>
        </w:rPr>
      </w:pPr>
      <w:r>
        <w:rPr>
          <w:szCs w:val="24"/>
        </w:rPr>
        <w:t xml:space="preserve">Vadovaudamasis </w:t>
      </w:r>
      <w:r>
        <w:t>Lietuvos Respublikos civilinės saugos įstatymo 15 straipsnio 2 dalies 4 punktu,  28 straipsnio 4 dalimi,</w:t>
      </w:r>
      <w:r>
        <w:rPr>
          <w:szCs w:val="24"/>
        </w:rPr>
        <w:t xml:space="preserve"> Lietuvos Respublikos Vyriausybės 2020 m. vasario 26 d. nutarimu Nr. 152 „Dėl valstybės lygio ekstremaliosios situacijos paskelbimo“, Lietuvos Respublikos Ministro Pirmininko 2020 m. vasario 27 d. potvarkiu Nr. 43 „Dėl valstybės lygio ekstremaliosios situacijos valstybės operacijų vadovo paskyrimo“</w:t>
      </w:r>
      <w:r>
        <w:rPr>
          <w:highlight w:val="white"/>
        </w:rPr>
        <w:t xml:space="preserve"> bei atsižvelgdamas į Lietuvos Respublikos Vyriausybės 2020 m. kovo 14 d. nutarimą Nr. 207 „Dėl karantino Lietuvos Respublikos teritorijoje paskelbimo“</w:t>
      </w:r>
      <w:r>
        <w:t>, į 2020 m. balandžio 8 d. Lietuvos Respublikos sveikatos apsaugos ministro – valstybės lygio ekstremaliosios situacijos valstybės operacijų vadovo sprendimą Nr. V-777 „Dėl COVID-19 ligos (</w:t>
      </w:r>
      <w:proofErr w:type="spellStart"/>
      <w:r>
        <w:t>koronaviruso</w:t>
      </w:r>
      <w:proofErr w:type="spellEnd"/>
      <w:r>
        <w:t xml:space="preserve"> infekcijos) greitųjų testų (</w:t>
      </w:r>
      <w:proofErr w:type="spellStart"/>
      <w:r>
        <w:t>IgG</w:t>
      </w:r>
      <w:proofErr w:type="spellEnd"/>
      <w:r>
        <w:t>/</w:t>
      </w:r>
      <w:proofErr w:type="spellStart"/>
      <w:r>
        <w:t>IgM</w:t>
      </w:r>
      <w:proofErr w:type="spellEnd"/>
      <w:r>
        <w:t xml:space="preserve">) naudojimo“, </w:t>
      </w:r>
      <w:r>
        <w:rPr>
          <w:shd w:val="clear" w:color="auto" w:fill="FFFFFF"/>
        </w:rPr>
        <w:t>n u s p r e n d ž i u:</w:t>
      </w:r>
    </w:p>
    <w:p w14:paraId="6A79F67A" w14:textId="4FD8AFD2" w:rsidR="005D4B27" w:rsidRDefault="00227588">
      <w:pPr>
        <w:ind w:firstLine="851"/>
        <w:jc w:val="both"/>
        <w:rPr>
          <w:shd w:val="clear" w:color="auto" w:fill="FFFFFF"/>
        </w:rPr>
      </w:pPr>
      <w:r>
        <w:t>1.</w:t>
      </w:r>
      <w:r>
        <w:tab/>
      </w:r>
      <w:r>
        <w:rPr>
          <w:shd w:val="clear" w:color="auto" w:fill="FFFFFF"/>
        </w:rPr>
        <w:t>Nustatyti, kad:</w:t>
      </w:r>
    </w:p>
    <w:p w14:paraId="056FE117" w14:textId="1CEE834E" w:rsidR="005D4B27" w:rsidRDefault="00227588">
      <w:pPr>
        <w:tabs>
          <w:tab w:val="left" w:pos="851"/>
        </w:tabs>
        <w:ind w:firstLine="851"/>
        <w:jc w:val="both"/>
        <w:rPr>
          <w:shd w:val="clear" w:color="auto" w:fill="FFFFFF"/>
        </w:rPr>
      </w:pPr>
      <w:r>
        <w:t>1.1.</w:t>
      </w:r>
      <w:r>
        <w:tab/>
      </w:r>
      <w:r>
        <w:rPr>
          <w:shd w:val="clear" w:color="auto" w:fill="FFFFFF"/>
        </w:rPr>
        <w:t xml:space="preserve">greitieji testai „AMP </w:t>
      </w:r>
      <w:proofErr w:type="spellStart"/>
      <w:r>
        <w:rPr>
          <w:shd w:val="clear" w:color="auto" w:fill="FFFFFF"/>
        </w:rPr>
        <w:t>Rapid</w:t>
      </w:r>
      <w:proofErr w:type="spellEnd"/>
      <w:r>
        <w:rPr>
          <w:shd w:val="clear" w:color="auto" w:fill="FFFFFF"/>
        </w:rPr>
        <w:t xml:space="preserve"> </w:t>
      </w:r>
      <w:proofErr w:type="spellStart"/>
      <w:r>
        <w:rPr>
          <w:shd w:val="clear" w:color="auto" w:fill="FFFFFF"/>
        </w:rPr>
        <w:t>Test</w:t>
      </w:r>
      <w:proofErr w:type="spellEnd"/>
      <w:r>
        <w:rPr>
          <w:shd w:val="clear" w:color="auto" w:fill="FFFFFF"/>
        </w:rPr>
        <w:t xml:space="preserve"> SARS-CoV-2 </w:t>
      </w:r>
      <w:proofErr w:type="spellStart"/>
      <w:r>
        <w:rPr>
          <w:shd w:val="clear" w:color="auto" w:fill="FFFFFF"/>
        </w:rPr>
        <w:t>IgG</w:t>
      </w:r>
      <w:proofErr w:type="spellEnd"/>
      <w:r>
        <w:rPr>
          <w:shd w:val="clear" w:color="auto" w:fill="FFFFFF"/>
        </w:rPr>
        <w:t>/</w:t>
      </w:r>
      <w:proofErr w:type="spellStart"/>
      <w:r>
        <w:rPr>
          <w:shd w:val="clear" w:color="auto" w:fill="FFFFFF"/>
        </w:rPr>
        <w:t>IgM</w:t>
      </w:r>
      <w:proofErr w:type="spellEnd"/>
      <w:r>
        <w:rPr>
          <w:shd w:val="clear" w:color="auto" w:fill="FFFFFF"/>
        </w:rPr>
        <w:t xml:space="preserve">“ ir kitose valstybėse narėse </w:t>
      </w:r>
      <w:proofErr w:type="spellStart"/>
      <w:r>
        <w:rPr>
          <w:shd w:val="clear" w:color="auto" w:fill="FFFFFF"/>
        </w:rPr>
        <w:t>validuoti</w:t>
      </w:r>
      <w:proofErr w:type="spellEnd"/>
      <w:r>
        <w:rPr>
          <w:shd w:val="clear" w:color="auto" w:fill="FFFFFF"/>
        </w:rPr>
        <w:t xml:space="preserve"> greitieji testai </w:t>
      </w:r>
      <w:proofErr w:type="spellStart"/>
      <w:r>
        <w:rPr>
          <w:shd w:val="clear" w:color="auto" w:fill="FFFFFF"/>
        </w:rPr>
        <w:t>Rapid</w:t>
      </w:r>
      <w:proofErr w:type="spellEnd"/>
      <w:r>
        <w:rPr>
          <w:shd w:val="clear" w:color="auto" w:fill="FFFFFF"/>
        </w:rPr>
        <w:t xml:space="preserve"> </w:t>
      </w:r>
      <w:proofErr w:type="spellStart"/>
      <w:r>
        <w:rPr>
          <w:shd w:val="clear" w:color="auto" w:fill="FFFFFF"/>
        </w:rPr>
        <w:t>Test</w:t>
      </w:r>
      <w:proofErr w:type="spellEnd"/>
      <w:r>
        <w:rPr>
          <w:shd w:val="clear" w:color="auto" w:fill="FFFFFF"/>
        </w:rPr>
        <w:t xml:space="preserve"> SARS-CoV-2 </w:t>
      </w:r>
      <w:proofErr w:type="spellStart"/>
      <w:r>
        <w:rPr>
          <w:shd w:val="clear" w:color="auto" w:fill="FFFFFF"/>
        </w:rPr>
        <w:t>IgG</w:t>
      </w:r>
      <w:proofErr w:type="spellEnd"/>
      <w:r>
        <w:rPr>
          <w:shd w:val="clear" w:color="auto" w:fill="FFFFFF"/>
        </w:rPr>
        <w:t>/</w:t>
      </w:r>
      <w:proofErr w:type="spellStart"/>
      <w:r>
        <w:rPr>
          <w:shd w:val="clear" w:color="auto" w:fill="FFFFFF"/>
        </w:rPr>
        <w:t>IgM</w:t>
      </w:r>
      <w:proofErr w:type="spellEnd"/>
      <w:r>
        <w:rPr>
          <w:shd w:val="clear" w:color="auto" w:fill="FFFFFF"/>
        </w:rPr>
        <w:t xml:space="preserve"> (toliau – greitieji testai) gali būti naudojami:</w:t>
      </w:r>
    </w:p>
    <w:p w14:paraId="5BBE9928" w14:textId="682D76DA" w:rsidR="005D4B27" w:rsidRDefault="00227588">
      <w:pPr>
        <w:tabs>
          <w:tab w:val="left" w:pos="1560"/>
        </w:tabs>
        <w:ind w:firstLine="851"/>
        <w:jc w:val="both"/>
        <w:rPr>
          <w:shd w:val="clear" w:color="auto" w:fill="FFFFFF"/>
        </w:rPr>
      </w:pPr>
      <w:r>
        <w:t>1.1.1.</w:t>
      </w:r>
      <w:r>
        <w:tab/>
      </w:r>
      <w:r>
        <w:rPr>
          <w:shd w:val="clear" w:color="auto" w:fill="FFFFFF"/>
        </w:rPr>
        <w:t xml:space="preserve">kartu su </w:t>
      </w:r>
      <w:r>
        <w:rPr>
          <w:szCs w:val="24"/>
          <w:shd w:val="clear" w:color="auto" w:fill="FFFFFF"/>
        </w:rPr>
        <w:t xml:space="preserve">molekulinės diagnostikos tyrimu dėl SARS-CoV-2 (2019-nCoV) RNR nustatymo </w:t>
      </w:r>
      <w:proofErr w:type="spellStart"/>
      <w:r>
        <w:rPr>
          <w:szCs w:val="24"/>
          <w:shd w:val="clear" w:color="auto" w:fill="FFFFFF"/>
        </w:rPr>
        <w:t>tikralaikės</w:t>
      </w:r>
      <w:proofErr w:type="spellEnd"/>
      <w:r>
        <w:rPr>
          <w:szCs w:val="24"/>
          <w:shd w:val="clear" w:color="auto" w:fill="FFFFFF"/>
        </w:rPr>
        <w:t xml:space="preserve"> PGR metodu (toliau – PGR tyrimas) </w:t>
      </w:r>
      <w:r>
        <w:rPr>
          <w:shd w:val="clear" w:color="auto" w:fill="FFFFFF"/>
        </w:rPr>
        <w:t>COVID-19 ligai (</w:t>
      </w:r>
      <w:proofErr w:type="spellStart"/>
      <w:r>
        <w:rPr>
          <w:shd w:val="clear" w:color="auto" w:fill="FFFFFF"/>
        </w:rPr>
        <w:t>koronaviruso</w:t>
      </w:r>
      <w:proofErr w:type="spellEnd"/>
      <w:r>
        <w:rPr>
          <w:shd w:val="clear" w:color="auto" w:fill="FFFFFF"/>
        </w:rPr>
        <w:t xml:space="preserve"> infekcijai) arba </w:t>
      </w:r>
      <w:proofErr w:type="spellStart"/>
      <w:r>
        <w:rPr>
          <w:shd w:val="clear" w:color="auto" w:fill="FFFFFF"/>
        </w:rPr>
        <w:t>serokonversijai</w:t>
      </w:r>
      <w:proofErr w:type="spellEnd"/>
      <w:r>
        <w:rPr>
          <w:shd w:val="clear" w:color="auto" w:fill="FFFFFF"/>
        </w:rPr>
        <w:t xml:space="preserve"> patvirtinti:</w:t>
      </w:r>
    </w:p>
    <w:p w14:paraId="3A068BA4" w14:textId="2EF05967" w:rsidR="005D4B27" w:rsidRDefault="00227588">
      <w:pPr>
        <w:tabs>
          <w:tab w:val="left" w:pos="1701"/>
        </w:tabs>
        <w:ind w:firstLine="851"/>
        <w:jc w:val="both"/>
        <w:rPr>
          <w:shd w:val="clear" w:color="auto" w:fill="FFFFFF"/>
        </w:rPr>
      </w:pPr>
      <w:r>
        <w:t>1.1.1.1.</w:t>
      </w:r>
      <w:r>
        <w:tab/>
      </w:r>
      <w:r>
        <w:rPr>
          <w:shd w:val="clear" w:color="auto" w:fill="FFFFFF"/>
        </w:rPr>
        <w:t>imuninio atsako į SARS-CoV-2 identifikavimui ne anksčiau kaip 14 dienų nuo simptomų pradžios;</w:t>
      </w:r>
    </w:p>
    <w:p w14:paraId="2827F2F0" w14:textId="07789508" w:rsidR="005D4B27" w:rsidRDefault="00227588">
      <w:pPr>
        <w:tabs>
          <w:tab w:val="left" w:pos="1701"/>
        </w:tabs>
        <w:ind w:firstLine="851"/>
        <w:jc w:val="both"/>
        <w:rPr>
          <w:shd w:val="clear" w:color="auto" w:fill="FFFFFF"/>
        </w:rPr>
      </w:pPr>
      <w:r>
        <w:t>1.1.1.2.</w:t>
      </w:r>
      <w:r>
        <w:tab/>
      </w:r>
      <w:r>
        <w:rPr>
          <w:shd w:val="clear" w:color="auto" w:fill="FFFFFF"/>
        </w:rPr>
        <w:t>asmeniui, turinčiam ryškius COVID-19 ligai (</w:t>
      </w:r>
      <w:proofErr w:type="spellStart"/>
      <w:r>
        <w:rPr>
          <w:shd w:val="clear" w:color="auto" w:fill="FFFFFF"/>
        </w:rPr>
        <w:t>koronaviruso</w:t>
      </w:r>
      <w:proofErr w:type="spellEnd"/>
      <w:r>
        <w:rPr>
          <w:shd w:val="clear" w:color="auto" w:fill="FFFFFF"/>
        </w:rPr>
        <w:t xml:space="preserve"> infekcijai) būdingus klinikinius požymius ir pakartotinai neigiamus SARS-CoV-2 PGR tyrimus iš viršutinių kvėpavimo takų;</w:t>
      </w:r>
    </w:p>
    <w:p w14:paraId="4B7B285F" w14:textId="4DA6719C" w:rsidR="005D4B27" w:rsidRDefault="00227588">
      <w:pPr>
        <w:tabs>
          <w:tab w:val="left" w:pos="1560"/>
        </w:tabs>
        <w:ind w:firstLine="851"/>
        <w:jc w:val="both"/>
        <w:rPr>
          <w:shd w:val="clear" w:color="auto" w:fill="FFFFFF"/>
        </w:rPr>
      </w:pPr>
      <w:r>
        <w:t>1.1.2.</w:t>
      </w:r>
      <w:r>
        <w:tab/>
      </w:r>
      <w:r>
        <w:rPr>
          <w:shd w:val="clear" w:color="auto" w:fill="FFFFFF"/>
        </w:rPr>
        <w:t>buvusiam užsikrėtimui COVID-19 liga (</w:t>
      </w:r>
      <w:proofErr w:type="spellStart"/>
      <w:r>
        <w:rPr>
          <w:shd w:val="clear" w:color="auto" w:fill="FFFFFF"/>
        </w:rPr>
        <w:t>koronaviruso</w:t>
      </w:r>
      <w:proofErr w:type="spellEnd"/>
      <w:r>
        <w:rPr>
          <w:shd w:val="clear" w:color="auto" w:fill="FFFFFF"/>
        </w:rPr>
        <w:t xml:space="preserve"> infekcija) nustatyti;</w:t>
      </w:r>
    </w:p>
    <w:p w14:paraId="4EC8B355" w14:textId="22AF8655" w:rsidR="005D4B27" w:rsidRDefault="00227588">
      <w:pPr>
        <w:tabs>
          <w:tab w:val="left" w:pos="1560"/>
        </w:tabs>
        <w:ind w:firstLine="851"/>
        <w:jc w:val="both"/>
        <w:rPr>
          <w:shd w:val="clear" w:color="auto" w:fill="FFFFFF"/>
        </w:rPr>
      </w:pPr>
      <w:r>
        <w:t>1.1.3.</w:t>
      </w:r>
      <w:r>
        <w:tab/>
      </w:r>
      <w:proofErr w:type="spellStart"/>
      <w:r>
        <w:rPr>
          <w:shd w:val="clear" w:color="auto" w:fill="FFFFFF"/>
        </w:rPr>
        <w:t>seroepidemiologiniams</w:t>
      </w:r>
      <w:proofErr w:type="spellEnd"/>
      <w:r>
        <w:rPr>
          <w:shd w:val="clear" w:color="auto" w:fill="FFFFFF"/>
        </w:rPr>
        <w:t xml:space="preserve"> COVID-19 ligos (</w:t>
      </w:r>
      <w:proofErr w:type="spellStart"/>
      <w:r>
        <w:rPr>
          <w:shd w:val="clear" w:color="auto" w:fill="FFFFFF"/>
        </w:rPr>
        <w:t>koronaviruso</w:t>
      </w:r>
      <w:proofErr w:type="spellEnd"/>
      <w:r>
        <w:rPr>
          <w:shd w:val="clear" w:color="auto" w:fill="FFFFFF"/>
        </w:rPr>
        <w:t xml:space="preserve"> infekcijos) tyrimams.</w:t>
      </w:r>
    </w:p>
    <w:p w14:paraId="04949029" w14:textId="1C6C903D" w:rsidR="005D4B27" w:rsidRDefault="00227588">
      <w:pPr>
        <w:tabs>
          <w:tab w:val="left" w:pos="851"/>
        </w:tabs>
        <w:ind w:firstLine="851"/>
        <w:jc w:val="both"/>
        <w:rPr>
          <w:shd w:val="clear" w:color="auto" w:fill="FFFFFF"/>
        </w:rPr>
      </w:pPr>
      <w:r>
        <w:t>1.2.</w:t>
      </w:r>
      <w:r>
        <w:tab/>
      </w:r>
      <w:r>
        <w:rPr>
          <w:shd w:val="clear" w:color="auto" w:fill="FFFFFF"/>
        </w:rPr>
        <w:t>greitieji testai skirti profesionaliam naudojimui</w:t>
      </w:r>
      <w:r>
        <w:rPr>
          <w:bCs/>
          <w:shd w:val="clear" w:color="auto" w:fill="FFFFFF"/>
        </w:rPr>
        <w:t>,</w:t>
      </w:r>
      <w:r>
        <w:rPr>
          <w:b/>
          <w:bCs/>
          <w:shd w:val="clear" w:color="auto" w:fill="FFFFFF"/>
        </w:rPr>
        <w:t xml:space="preserve"> </w:t>
      </w:r>
      <w:r>
        <w:rPr>
          <w:shd w:val="clear" w:color="auto" w:fill="FFFFFF"/>
        </w:rPr>
        <w:t>kai rezultatus vertina ir interpretuoja sveikatos priežiūros specialistas;</w:t>
      </w:r>
    </w:p>
    <w:p w14:paraId="526B24EC" w14:textId="127DF565" w:rsidR="005D4B27" w:rsidRDefault="00227588">
      <w:pPr>
        <w:tabs>
          <w:tab w:val="left" w:pos="851"/>
        </w:tabs>
        <w:ind w:firstLine="851"/>
        <w:jc w:val="both"/>
        <w:rPr>
          <w:shd w:val="clear" w:color="auto" w:fill="FFFFFF"/>
        </w:rPr>
      </w:pPr>
      <w:r>
        <w:t>1.3.</w:t>
      </w:r>
      <w:r>
        <w:tab/>
      </w:r>
      <w:r>
        <w:rPr>
          <w:szCs w:val="24"/>
        </w:rPr>
        <w:t>visi laboratorinių tyrimų, kai naudojami greitieji testai, užsakymai pateikiami į Elektroninę sveikatos paslaugų ir bendradarbiavimo infrastruktūros informacinę sistemą (toliau – ESPBI IS) forma E200;</w:t>
      </w:r>
    </w:p>
    <w:p w14:paraId="73745C21" w14:textId="39D82061" w:rsidR="005D4B27" w:rsidRDefault="00227588">
      <w:pPr>
        <w:tabs>
          <w:tab w:val="left" w:pos="851"/>
        </w:tabs>
        <w:ind w:firstLine="851"/>
        <w:jc w:val="both"/>
        <w:rPr>
          <w:shd w:val="clear" w:color="auto" w:fill="FFFFFF"/>
        </w:rPr>
      </w:pPr>
      <w:r>
        <w:t>1.4.</w:t>
      </w:r>
      <w:r>
        <w:tab/>
      </w:r>
      <w:r>
        <w:rPr>
          <w:szCs w:val="24"/>
        </w:rPr>
        <w:t>visi laboratorinių tyrimų, kai naudojami greitieji testai, atsakymai pateikiami į ESPBI IS forma E200-a.</w:t>
      </w:r>
    </w:p>
    <w:p w14:paraId="5F1685B7" w14:textId="7DFE1D48" w:rsidR="005D4B27" w:rsidRDefault="00227588">
      <w:pPr>
        <w:ind w:firstLine="851"/>
        <w:jc w:val="both"/>
        <w:rPr>
          <w:shd w:val="clear" w:color="auto" w:fill="FFFFFF"/>
        </w:rPr>
      </w:pPr>
      <w:r>
        <w:t>2.</w:t>
      </w:r>
      <w:r>
        <w:tab/>
      </w:r>
      <w:r>
        <w:rPr>
          <w:szCs w:val="24"/>
        </w:rPr>
        <w:t xml:space="preserve">Pavesti Nacionalinei visuomenės sveikatos priežiūros laboratorijai išduoti </w:t>
      </w:r>
      <w:r>
        <w:rPr>
          <w:shd w:val="clear" w:color="auto" w:fill="FFFFFF"/>
        </w:rPr>
        <w:t xml:space="preserve">greituosius testus „AMP </w:t>
      </w:r>
      <w:proofErr w:type="spellStart"/>
      <w:r>
        <w:rPr>
          <w:shd w:val="clear" w:color="auto" w:fill="FFFFFF"/>
        </w:rPr>
        <w:t>Rapid</w:t>
      </w:r>
      <w:proofErr w:type="spellEnd"/>
      <w:r>
        <w:rPr>
          <w:shd w:val="clear" w:color="auto" w:fill="FFFFFF"/>
        </w:rPr>
        <w:t xml:space="preserve"> </w:t>
      </w:r>
      <w:proofErr w:type="spellStart"/>
      <w:r>
        <w:rPr>
          <w:shd w:val="clear" w:color="auto" w:fill="FFFFFF"/>
        </w:rPr>
        <w:t>Test</w:t>
      </w:r>
      <w:proofErr w:type="spellEnd"/>
      <w:r>
        <w:rPr>
          <w:shd w:val="clear" w:color="auto" w:fill="FFFFFF"/>
        </w:rPr>
        <w:t xml:space="preserve"> SARS-CoV-2 </w:t>
      </w:r>
      <w:proofErr w:type="spellStart"/>
      <w:r>
        <w:rPr>
          <w:shd w:val="clear" w:color="auto" w:fill="FFFFFF"/>
        </w:rPr>
        <w:t>IgG</w:t>
      </w:r>
      <w:proofErr w:type="spellEnd"/>
      <w:r>
        <w:rPr>
          <w:shd w:val="clear" w:color="auto" w:fill="FFFFFF"/>
        </w:rPr>
        <w:t>/</w:t>
      </w:r>
      <w:proofErr w:type="spellStart"/>
      <w:r>
        <w:rPr>
          <w:shd w:val="clear" w:color="auto" w:fill="FFFFFF"/>
        </w:rPr>
        <w:t>IgM</w:t>
      </w:r>
      <w:proofErr w:type="spellEnd"/>
      <w:r>
        <w:rPr>
          <w:shd w:val="clear" w:color="auto" w:fill="FFFFFF"/>
        </w:rPr>
        <w:t xml:space="preserve">“ poreikį pateikusioms asmens sveikatos priežiūros įstaigoms ir apie išdavimą informuoti </w:t>
      </w:r>
      <w:r>
        <w:rPr>
          <w:szCs w:val="24"/>
          <w:shd w:val="clear" w:color="auto" w:fill="FFFFFF"/>
        </w:rPr>
        <w:t>Lietuvos</w:t>
      </w:r>
      <w:r>
        <w:rPr>
          <w:szCs w:val="24"/>
        </w:rPr>
        <w:t xml:space="preserve"> Respublikos sveikatos apsaugos ministeriją.</w:t>
      </w:r>
    </w:p>
    <w:p w14:paraId="798AAA26" w14:textId="027A40F5" w:rsidR="005D4B27" w:rsidRDefault="00227588" w:rsidP="00227588">
      <w:pPr>
        <w:ind w:firstLine="851"/>
        <w:jc w:val="both"/>
      </w:pPr>
      <w:r>
        <w:t>3.</w:t>
      </w:r>
      <w:r>
        <w:tab/>
      </w:r>
      <w:r>
        <w:rPr>
          <w:szCs w:val="24"/>
        </w:rPr>
        <w:t xml:space="preserve">Asmenys, norintys teikti asmens sveikatos priežiūros įstaigoms kitose valstybės </w:t>
      </w:r>
      <w:proofErr w:type="spellStart"/>
      <w:r>
        <w:rPr>
          <w:szCs w:val="24"/>
        </w:rPr>
        <w:t>validuotus</w:t>
      </w:r>
      <w:proofErr w:type="spellEnd"/>
      <w:r>
        <w:rPr>
          <w:szCs w:val="24"/>
        </w:rPr>
        <w:t xml:space="preserve"> testus, turi pateikti Valstybinei akreditavimo sveikatos priežiūros veiklai tarnybai prie Sveikatos apsaugos ministerijos informaciją ir dokumentus, patvirtinančius validacijos atlikimą. Greitųjų testų jautrumas ne anksčiau 14 dienų nuo simptomų pradžios turi būti ne mažesnis nei 90 proc. </w:t>
      </w:r>
    </w:p>
    <w:p w14:paraId="684485BE" w14:textId="77777777" w:rsidR="00227588" w:rsidRDefault="00227588"/>
    <w:p w14:paraId="57AE7D26" w14:textId="27CBAC2E" w:rsidR="005D4B27" w:rsidRDefault="00227588">
      <w:pPr>
        <w:rPr>
          <w:color w:val="000000"/>
          <w:szCs w:val="24"/>
          <w:shd w:val="clear" w:color="auto" w:fill="FFFFFF"/>
        </w:rPr>
      </w:pPr>
      <w:r>
        <w:rPr>
          <w:szCs w:val="24"/>
        </w:rPr>
        <w:t xml:space="preserve">Sveikatos apsaugos ministras – </w:t>
      </w:r>
      <w:r>
        <w:rPr>
          <w:color w:val="000000"/>
          <w:szCs w:val="24"/>
          <w:shd w:val="clear" w:color="auto" w:fill="FFFFFF"/>
        </w:rPr>
        <w:t>valstybės lygio</w:t>
      </w:r>
    </w:p>
    <w:p w14:paraId="1E8272FA" w14:textId="3EC79C52" w:rsidR="005D4B27" w:rsidRDefault="00227588">
      <w:r>
        <w:rPr>
          <w:color w:val="000000"/>
          <w:szCs w:val="24"/>
          <w:shd w:val="clear" w:color="auto" w:fill="FFFFFF"/>
        </w:rPr>
        <w:t xml:space="preserve">ekstremaliosios situacijos valstybės operacijų vadovas </w:t>
      </w:r>
      <w:r>
        <w:rPr>
          <w:szCs w:val="24"/>
        </w:rPr>
        <w:tab/>
        <w:t xml:space="preserve">                   Aurelijus </w:t>
      </w:r>
      <w:proofErr w:type="spellStart"/>
      <w:r>
        <w:rPr>
          <w:szCs w:val="24"/>
        </w:rPr>
        <w:t>Veryga</w:t>
      </w:r>
      <w:proofErr w:type="spellEnd"/>
    </w:p>
    <w:sectPr w:rsidR="005D4B27">
      <w:pgSz w:w="11906" w:h="16838"/>
      <w:pgMar w:top="1418"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832"/>
    <w:rsid w:val="00227588"/>
    <w:rsid w:val="00450A84"/>
    <w:rsid w:val="00471832"/>
    <w:rsid w:val="005D4B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97857"/>
  <w15:docId w15:val="{1B69B21B-2C86-4D42-8523-F8011E28A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31885">
      <w:bodyDiv w:val="1"/>
      <w:marLeft w:val="0"/>
      <w:marRight w:val="0"/>
      <w:marTop w:val="0"/>
      <w:marBottom w:val="0"/>
      <w:divBdr>
        <w:top w:val="none" w:sz="0" w:space="0" w:color="auto"/>
        <w:left w:val="none" w:sz="0" w:space="0" w:color="auto"/>
        <w:bottom w:val="none" w:sz="0" w:space="0" w:color="auto"/>
        <w:right w:val="none" w:sz="0" w:space="0" w:color="auto"/>
      </w:divBdr>
      <w:divsChild>
        <w:div w:id="822425976">
          <w:marLeft w:val="432"/>
          <w:marRight w:val="0"/>
          <w:marTop w:val="120"/>
          <w:marBottom w:val="0"/>
          <w:divBdr>
            <w:top w:val="none" w:sz="0" w:space="0" w:color="auto"/>
            <w:left w:val="none" w:sz="0" w:space="0" w:color="auto"/>
            <w:bottom w:val="none" w:sz="0" w:space="0" w:color="auto"/>
            <w:right w:val="none" w:sz="0" w:space="0" w:color="auto"/>
          </w:divBdr>
        </w:div>
        <w:div w:id="1503009487">
          <w:marLeft w:val="432"/>
          <w:marRight w:val="0"/>
          <w:marTop w:val="120"/>
          <w:marBottom w:val="0"/>
          <w:divBdr>
            <w:top w:val="none" w:sz="0" w:space="0" w:color="auto"/>
            <w:left w:val="none" w:sz="0" w:space="0" w:color="auto"/>
            <w:bottom w:val="none" w:sz="0" w:space="0" w:color="auto"/>
            <w:right w:val="none" w:sz="0" w:space="0" w:color="auto"/>
          </w:divBdr>
        </w:div>
      </w:divsChild>
    </w:div>
    <w:div w:id="469716812">
      <w:bodyDiv w:val="1"/>
      <w:marLeft w:val="0"/>
      <w:marRight w:val="0"/>
      <w:marTop w:val="0"/>
      <w:marBottom w:val="0"/>
      <w:divBdr>
        <w:top w:val="none" w:sz="0" w:space="0" w:color="auto"/>
        <w:left w:val="none" w:sz="0" w:space="0" w:color="auto"/>
        <w:bottom w:val="none" w:sz="0" w:space="0" w:color="auto"/>
        <w:right w:val="none" w:sz="0" w:space="0" w:color="auto"/>
      </w:divBdr>
    </w:div>
    <w:div w:id="908462247">
      <w:bodyDiv w:val="1"/>
      <w:marLeft w:val="0"/>
      <w:marRight w:val="0"/>
      <w:marTop w:val="0"/>
      <w:marBottom w:val="0"/>
      <w:divBdr>
        <w:top w:val="none" w:sz="0" w:space="0" w:color="auto"/>
        <w:left w:val="none" w:sz="0" w:space="0" w:color="auto"/>
        <w:bottom w:val="none" w:sz="0" w:space="0" w:color="auto"/>
        <w:right w:val="none" w:sz="0" w:space="0" w:color="auto"/>
      </w:divBdr>
    </w:div>
    <w:div w:id="1523087239">
      <w:bodyDiv w:val="1"/>
      <w:marLeft w:val="0"/>
      <w:marRight w:val="0"/>
      <w:marTop w:val="0"/>
      <w:marBottom w:val="0"/>
      <w:divBdr>
        <w:top w:val="none" w:sz="0" w:space="0" w:color="auto"/>
        <w:left w:val="none" w:sz="0" w:space="0" w:color="auto"/>
        <w:bottom w:val="none" w:sz="0" w:space="0" w:color="auto"/>
        <w:right w:val="none" w:sz="0" w:space="0" w:color="auto"/>
      </w:divBdr>
    </w:div>
    <w:div w:id="1759475393">
      <w:bodyDiv w:val="1"/>
      <w:marLeft w:val="0"/>
      <w:marRight w:val="0"/>
      <w:marTop w:val="0"/>
      <w:marBottom w:val="0"/>
      <w:divBdr>
        <w:top w:val="none" w:sz="0" w:space="0" w:color="auto"/>
        <w:left w:val="none" w:sz="0" w:space="0" w:color="auto"/>
        <w:bottom w:val="none" w:sz="0" w:space="0" w:color="auto"/>
        <w:right w:val="none" w:sz="0" w:space="0" w:color="auto"/>
      </w:divBdr>
    </w:div>
    <w:div w:id="1801223913">
      <w:bodyDiv w:val="1"/>
      <w:marLeft w:val="0"/>
      <w:marRight w:val="0"/>
      <w:marTop w:val="0"/>
      <w:marBottom w:val="0"/>
      <w:divBdr>
        <w:top w:val="none" w:sz="0" w:space="0" w:color="auto"/>
        <w:left w:val="none" w:sz="0" w:space="0" w:color="auto"/>
        <w:bottom w:val="none" w:sz="0" w:space="0" w:color="auto"/>
        <w:right w:val="none" w:sz="0" w:space="0" w:color="auto"/>
      </w:divBdr>
    </w:div>
    <w:div w:id="184262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2015</Words>
  <Characters>1150</Characters>
  <Application>Microsoft Office Word</Application>
  <DocSecurity>0</DocSecurity>
  <Lines>9</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3159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Dabulė</dc:creator>
  <cp:lastModifiedBy>Renata Laučiuvienė</cp:lastModifiedBy>
  <cp:revision>2</cp:revision>
  <dcterms:created xsi:type="dcterms:W3CDTF">2020-06-04T04:52:00Z</dcterms:created>
  <dcterms:modified xsi:type="dcterms:W3CDTF">2020-06-04T04:52:00Z</dcterms:modified>
</cp:coreProperties>
</file>